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87" w:rsidRPr="00E46787" w:rsidRDefault="00E46787" w:rsidP="00E46787">
      <w:pPr>
        <w:spacing w:after="0" w:line="240" w:lineRule="auto"/>
        <w:rPr>
          <w:rFonts w:ascii="Times New Roman" w:eastAsia="Times New Roman" w:hAnsi="Times New Roman" w:cs="Times New Roman"/>
          <w:sz w:val="24"/>
          <w:szCs w:val="24"/>
          <w:lang w:eastAsia="es-ES"/>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594"/>
      </w:tblGrid>
      <w:tr w:rsidR="00E46787" w:rsidRPr="00E46787" w:rsidTr="00E46787">
        <w:trPr>
          <w:tblCellSpacing w:w="15" w:type="dxa"/>
        </w:trPr>
        <w:tc>
          <w:tcPr>
            <w:tcW w:w="0" w:type="auto"/>
            <w:hideMark/>
          </w:tcPr>
          <w:p w:rsidR="00E46787" w:rsidRPr="00E46787" w:rsidRDefault="00E46787" w:rsidP="00E46787">
            <w:pPr>
              <w:spacing w:after="0" w:line="240" w:lineRule="auto"/>
              <w:jc w:val="center"/>
              <w:rPr>
                <w:rFonts w:ascii="Times New Roman" w:eastAsia="Times New Roman" w:hAnsi="Times New Roman" w:cs="Times New Roman"/>
                <w:sz w:val="24"/>
                <w:szCs w:val="24"/>
                <w:lang w:eastAsia="es-ES"/>
              </w:rPr>
            </w:pPr>
            <w:hyperlink r:id="rId5" w:history="1">
              <w:r w:rsidRPr="00E46787">
                <w:rPr>
                  <w:rFonts w:ascii="Times New Roman" w:eastAsia="Times New Roman" w:hAnsi="Times New Roman" w:cs="Times New Roman"/>
                  <w:color w:val="0000FF"/>
                  <w:sz w:val="24"/>
                  <w:szCs w:val="24"/>
                  <w:u w:val="single"/>
                  <w:lang w:eastAsia="es-ES"/>
                </w:rPr>
                <w:t>Nueva Consulta</w:t>
              </w:r>
            </w:hyperlink>
            <w:r w:rsidRPr="00E46787">
              <w:rPr>
                <w:rFonts w:ascii="Times New Roman" w:eastAsia="Times New Roman" w:hAnsi="Times New Roman" w:cs="Times New Roman"/>
                <w:sz w:val="24"/>
                <w:szCs w:val="24"/>
                <w:lang w:eastAsia="es-ES"/>
              </w:rPr>
              <w:t xml:space="preserve"> </w:t>
            </w:r>
            <w:hyperlink r:id="rId6" w:history="1">
              <w:r w:rsidRPr="00E46787">
                <w:rPr>
                  <w:rFonts w:ascii="Times New Roman" w:eastAsia="Times New Roman" w:hAnsi="Times New Roman" w:cs="Times New Roman"/>
                  <w:color w:val="0000FF"/>
                  <w:sz w:val="24"/>
                  <w:szCs w:val="24"/>
                  <w:u w:val="single"/>
                  <w:lang w:eastAsia="es-ES"/>
                </w:rPr>
                <w:t>Ver Consulta</w:t>
              </w:r>
            </w:hyperlink>
            <w:r w:rsidRPr="00E46787">
              <w:rPr>
                <w:rFonts w:ascii="Times New Roman" w:eastAsia="Times New Roman" w:hAnsi="Times New Roman" w:cs="Times New Roman"/>
                <w:sz w:val="24"/>
                <w:szCs w:val="24"/>
                <w:lang w:eastAsia="es-ES"/>
              </w:rPr>
              <w:t xml:space="preserve"> </w:t>
            </w:r>
          </w:p>
        </w:tc>
      </w:tr>
      <w:tr w:rsidR="00E46787" w:rsidRPr="00E46787" w:rsidTr="00E46787">
        <w:trPr>
          <w:tblCellSpacing w:w="15" w:type="dxa"/>
        </w:trPr>
        <w:tc>
          <w:tcPr>
            <w:tcW w:w="0" w:type="auto"/>
            <w:vAlign w:val="center"/>
            <w:hideMark/>
          </w:tcPr>
          <w:p w:rsidR="00E46787" w:rsidRPr="00E46787" w:rsidRDefault="00E46787" w:rsidP="00E46787">
            <w:pPr>
              <w:spacing w:after="0" w:line="240" w:lineRule="auto"/>
              <w:jc w:val="center"/>
              <w:rPr>
                <w:rFonts w:ascii="Times New Roman" w:eastAsia="Times New Roman" w:hAnsi="Times New Roman" w:cs="Times New Roman"/>
                <w:sz w:val="24"/>
                <w:szCs w:val="24"/>
                <w:lang w:eastAsia="es-ES"/>
              </w:rPr>
            </w:pPr>
            <w:r w:rsidRPr="00E46787">
              <w:rPr>
                <w:rFonts w:ascii="Times New Roman" w:eastAsia="Times New Roman" w:hAnsi="Times New Roman" w:cs="Times New Roman"/>
                <w:i/>
                <w:iCs/>
                <w:sz w:val="24"/>
                <w:szCs w:val="24"/>
                <w:lang w:eastAsia="es-ES"/>
              </w:rPr>
              <w:t>.EN NUM-CONSULTA (2421-99)</w:t>
            </w:r>
          </w:p>
        </w:tc>
      </w:tr>
      <w:tr w:rsidR="00E46787" w:rsidRPr="00E46787" w:rsidTr="00E46787">
        <w:trPr>
          <w:tblCellSpacing w:w="15" w:type="dxa"/>
        </w:trPr>
        <w:tc>
          <w:tcPr>
            <w:tcW w:w="0" w:type="auto"/>
            <w:vAlign w:val="center"/>
            <w:hideMark/>
          </w:tcPr>
          <w:p w:rsidR="00E46787" w:rsidRPr="00E46787" w:rsidRDefault="00E46787" w:rsidP="00E46787">
            <w:pPr>
              <w:spacing w:after="0" w:line="240" w:lineRule="auto"/>
              <w:jc w:val="center"/>
              <w:rPr>
                <w:rFonts w:ascii="Times New Roman" w:eastAsia="Times New Roman" w:hAnsi="Times New Roman" w:cs="Times New Roman"/>
                <w:sz w:val="24"/>
                <w:szCs w:val="24"/>
                <w:lang w:eastAsia="es-ES"/>
              </w:rPr>
            </w:pPr>
          </w:p>
        </w:tc>
      </w:tr>
    </w:tbl>
    <w:p w:rsidR="00E46787" w:rsidRPr="00E46787" w:rsidRDefault="00E46787" w:rsidP="00E46787">
      <w:pPr>
        <w:spacing w:after="0" w:line="240" w:lineRule="auto"/>
        <w:rPr>
          <w:rFonts w:ascii="Times New Roman" w:eastAsia="Times New Roman" w:hAnsi="Times New Roman" w:cs="Times New Roman"/>
          <w:sz w:val="24"/>
          <w:szCs w:val="24"/>
          <w:lang w:eastAsia="es-ES"/>
        </w:rPr>
      </w:pPr>
    </w:p>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Times New Roman" w:eastAsia="Times New Roman" w:hAnsi="Times New Roman" w:cs="Times New Roman"/>
          <w:sz w:val="24"/>
          <w:szCs w:val="24"/>
          <w:lang w:eastAsia="es-ES"/>
        </w:rPr>
        <w:pict>
          <v:rect id="_x0000_i1025" style="width:0;height:1.5pt" o:hralign="center" o:hrstd="t" o:hr="t" fillcolor="#a0a0a0" stroked="f"/>
        </w:pic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95"/>
        <w:gridCol w:w="6599"/>
      </w:tblGrid>
      <w:tr w:rsidR="00E46787" w:rsidRPr="00E46787" w:rsidTr="00E46787">
        <w:trPr>
          <w:tblCellSpacing w:w="15" w:type="dxa"/>
        </w:trPr>
        <w:tc>
          <w:tcPr>
            <w:tcW w:w="1000" w:type="pct"/>
            <w:hideMark/>
          </w:tcPr>
          <w:p w:rsidR="00E46787" w:rsidRPr="00E46787" w:rsidRDefault="00E46787" w:rsidP="00E46787">
            <w:pPr>
              <w:spacing w:after="0" w:line="240" w:lineRule="auto"/>
              <w:jc w:val="right"/>
              <w:rPr>
                <w:rFonts w:ascii="Times New Roman" w:eastAsia="Times New Roman" w:hAnsi="Times New Roman" w:cs="Times New Roman"/>
                <w:sz w:val="24"/>
                <w:szCs w:val="24"/>
                <w:lang w:eastAsia="es-ES"/>
              </w:rPr>
            </w:pPr>
            <w:r w:rsidRPr="00E46787">
              <w:rPr>
                <w:rFonts w:ascii="Arial" w:eastAsia="Times New Roman" w:hAnsi="Arial" w:cs="Arial"/>
                <w:b/>
                <w:bCs/>
                <w:color w:val="0000FF"/>
                <w:sz w:val="24"/>
                <w:szCs w:val="24"/>
                <w:lang w:eastAsia="es-ES"/>
              </w:rPr>
              <w:t>Nº. CONSULTA</w:t>
            </w:r>
          </w:p>
        </w:tc>
        <w:tc>
          <w:tcPr>
            <w:tcW w:w="0" w:type="auto"/>
            <w:hideMark/>
          </w:tcPr>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Arial" w:eastAsia="Times New Roman" w:hAnsi="Arial" w:cs="Arial"/>
                <w:sz w:val="24"/>
                <w:szCs w:val="24"/>
                <w:lang w:eastAsia="es-ES"/>
              </w:rPr>
              <w:t>2421-99</w:t>
            </w:r>
          </w:p>
        </w:tc>
      </w:tr>
      <w:tr w:rsidR="00E46787" w:rsidRPr="00E46787" w:rsidTr="00E46787">
        <w:trPr>
          <w:tblCellSpacing w:w="15" w:type="dxa"/>
        </w:trPr>
        <w:tc>
          <w:tcPr>
            <w:tcW w:w="1000" w:type="pct"/>
            <w:hideMark/>
          </w:tcPr>
          <w:p w:rsidR="00E46787" w:rsidRPr="00E46787" w:rsidRDefault="00E46787" w:rsidP="00E46787">
            <w:pPr>
              <w:spacing w:after="0" w:line="240" w:lineRule="auto"/>
              <w:jc w:val="right"/>
              <w:rPr>
                <w:rFonts w:ascii="Times New Roman" w:eastAsia="Times New Roman" w:hAnsi="Times New Roman" w:cs="Times New Roman"/>
                <w:sz w:val="24"/>
                <w:szCs w:val="24"/>
                <w:lang w:eastAsia="es-ES"/>
              </w:rPr>
            </w:pPr>
            <w:r w:rsidRPr="00E46787">
              <w:rPr>
                <w:rFonts w:ascii="Arial" w:eastAsia="Times New Roman" w:hAnsi="Arial" w:cs="Arial"/>
                <w:b/>
                <w:bCs/>
                <w:color w:val="0000FF"/>
                <w:sz w:val="24"/>
                <w:szCs w:val="24"/>
                <w:lang w:eastAsia="es-ES"/>
              </w:rPr>
              <w:t>ORGANO</w:t>
            </w:r>
          </w:p>
        </w:tc>
        <w:tc>
          <w:tcPr>
            <w:tcW w:w="0" w:type="auto"/>
            <w:hideMark/>
          </w:tcPr>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Arial" w:eastAsia="Times New Roman" w:hAnsi="Arial" w:cs="Arial"/>
                <w:sz w:val="24"/>
                <w:szCs w:val="24"/>
                <w:lang w:eastAsia="es-ES"/>
              </w:rPr>
              <w:t>SG de Impuestos Patrimoniales, Tasas y Precios Públicos</w:t>
            </w:r>
          </w:p>
        </w:tc>
      </w:tr>
      <w:tr w:rsidR="00E46787" w:rsidRPr="00E46787" w:rsidTr="00E46787">
        <w:trPr>
          <w:tblCellSpacing w:w="15" w:type="dxa"/>
        </w:trPr>
        <w:tc>
          <w:tcPr>
            <w:tcW w:w="1000" w:type="pct"/>
            <w:hideMark/>
          </w:tcPr>
          <w:p w:rsidR="00E46787" w:rsidRPr="00E46787" w:rsidRDefault="00E46787" w:rsidP="00E46787">
            <w:pPr>
              <w:spacing w:after="0" w:line="240" w:lineRule="auto"/>
              <w:jc w:val="right"/>
              <w:rPr>
                <w:rFonts w:ascii="Times New Roman" w:eastAsia="Times New Roman" w:hAnsi="Times New Roman" w:cs="Times New Roman"/>
                <w:sz w:val="24"/>
                <w:szCs w:val="24"/>
                <w:lang w:eastAsia="es-ES"/>
              </w:rPr>
            </w:pPr>
            <w:r w:rsidRPr="00E46787">
              <w:rPr>
                <w:rFonts w:ascii="Arial" w:eastAsia="Times New Roman" w:hAnsi="Arial" w:cs="Arial"/>
                <w:b/>
                <w:bCs/>
                <w:color w:val="0000FF"/>
                <w:sz w:val="24"/>
                <w:szCs w:val="24"/>
                <w:lang w:eastAsia="es-ES"/>
              </w:rPr>
              <w:t>FECHA SALIDA</w:t>
            </w:r>
          </w:p>
        </w:tc>
        <w:tc>
          <w:tcPr>
            <w:tcW w:w="0" w:type="auto"/>
            <w:hideMark/>
          </w:tcPr>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Arial" w:eastAsia="Times New Roman" w:hAnsi="Arial" w:cs="Arial"/>
                <w:sz w:val="24"/>
                <w:szCs w:val="24"/>
                <w:lang w:eastAsia="es-ES"/>
              </w:rPr>
              <w:t>22/12/1999</w:t>
            </w:r>
          </w:p>
        </w:tc>
      </w:tr>
      <w:tr w:rsidR="00E46787" w:rsidRPr="00E46787" w:rsidTr="00E46787">
        <w:trPr>
          <w:tblCellSpacing w:w="15" w:type="dxa"/>
        </w:trPr>
        <w:tc>
          <w:tcPr>
            <w:tcW w:w="1000" w:type="pct"/>
            <w:hideMark/>
          </w:tcPr>
          <w:p w:rsidR="00E46787" w:rsidRPr="00E46787" w:rsidRDefault="00E46787" w:rsidP="00E46787">
            <w:pPr>
              <w:spacing w:after="0" w:line="240" w:lineRule="auto"/>
              <w:jc w:val="right"/>
              <w:rPr>
                <w:rFonts w:ascii="Times New Roman" w:eastAsia="Times New Roman" w:hAnsi="Times New Roman" w:cs="Times New Roman"/>
                <w:sz w:val="24"/>
                <w:szCs w:val="24"/>
                <w:lang w:eastAsia="es-ES"/>
              </w:rPr>
            </w:pPr>
            <w:r w:rsidRPr="00E46787">
              <w:rPr>
                <w:rFonts w:ascii="Arial" w:eastAsia="Times New Roman" w:hAnsi="Arial" w:cs="Arial"/>
                <w:b/>
                <w:bCs/>
                <w:color w:val="0000FF"/>
                <w:sz w:val="24"/>
                <w:szCs w:val="24"/>
                <w:lang w:eastAsia="es-ES"/>
              </w:rPr>
              <w:t>NORMATIVA</w:t>
            </w:r>
          </w:p>
        </w:tc>
        <w:tc>
          <w:tcPr>
            <w:tcW w:w="0" w:type="auto"/>
            <w:hideMark/>
          </w:tcPr>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Arial" w:eastAsia="Times New Roman" w:hAnsi="Arial" w:cs="Arial"/>
                <w:sz w:val="24"/>
                <w:szCs w:val="24"/>
                <w:lang w:eastAsia="es-ES"/>
              </w:rPr>
              <w:t xml:space="preserve">RD 828/1995, Art. 20 y 39. </w:t>
            </w:r>
          </w:p>
        </w:tc>
      </w:tr>
      <w:tr w:rsidR="00E46787" w:rsidRPr="00E46787" w:rsidTr="00E46787">
        <w:trPr>
          <w:tblCellSpacing w:w="15" w:type="dxa"/>
        </w:trPr>
        <w:tc>
          <w:tcPr>
            <w:tcW w:w="1000" w:type="pct"/>
            <w:hideMark/>
          </w:tcPr>
          <w:p w:rsidR="00E46787" w:rsidRPr="00E46787" w:rsidRDefault="00E46787" w:rsidP="00E46787">
            <w:pPr>
              <w:spacing w:after="0" w:line="240" w:lineRule="auto"/>
              <w:jc w:val="right"/>
              <w:rPr>
                <w:rFonts w:ascii="Times New Roman" w:eastAsia="Times New Roman" w:hAnsi="Times New Roman" w:cs="Times New Roman"/>
                <w:sz w:val="24"/>
                <w:szCs w:val="24"/>
                <w:lang w:eastAsia="es-ES"/>
              </w:rPr>
            </w:pPr>
            <w:r w:rsidRPr="00E46787">
              <w:rPr>
                <w:rFonts w:ascii="Arial" w:eastAsia="Times New Roman" w:hAnsi="Arial" w:cs="Arial"/>
                <w:b/>
                <w:bCs/>
                <w:color w:val="0000FF"/>
                <w:sz w:val="24"/>
                <w:szCs w:val="24"/>
                <w:lang w:eastAsia="es-ES"/>
              </w:rPr>
              <w:t>DESCRIPCION</w:t>
            </w:r>
          </w:p>
        </w:tc>
        <w:tc>
          <w:tcPr>
            <w:tcW w:w="0" w:type="auto"/>
            <w:hideMark/>
          </w:tcPr>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Arial" w:eastAsia="Times New Roman" w:hAnsi="Arial" w:cs="Arial"/>
                <w:sz w:val="24"/>
                <w:szCs w:val="24"/>
                <w:lang w:eastAsia="es-ES"/>
              </w:rPr>
              <w:t xml:space="preserve">Una determinada empresa se adjudica una finca urbana con facultad de ceder el remate a tercero. Consignada la diferencia entre el precio del remate y la cantidad que le adeuda el ejecutado en concepto de principal, el adjudicatario cede el remate en favor del consultante, recibiendo de éste el cedente el precio del remate. </w:t>
            </w:r>
          </w:p>
        </w:tc>
      </w:tr>
      <w:tr w:rsidR="00E46787" w:rsidRPr="00E46787" w:rsidTr="00E46787">
        <w:trPr>
          <w:tblCellSpacing w:w="15" w:type="dxa"/>
        </w:trPr>
        <w:tc>
          <w:tcPr>
            <w:tcW w:w="1000" w:type="pct"/>
            <w:hideMark/>
          </w:tcPr>
          <w:p w:rsidR="00E46787" w:rsidRPr="00E46787" w:rsidRDefault="00E46787" w:rsidP="00E46787">
            <w:pPr>
              <w:spacing w:after="0" w:line="240" w:lineRule="auto"/>
              <w:jc w:val="right"/>
              <w:rPr>
                <w:rFonts w:ascii="Times New Roman" w:eastAsia="Times New Roman" w:hAnsi="Times New Roman" w:cs="Times New Roman"/>
                <w:sz w:val="24"/>
                <w:szCs w:val="24"/>
                <w:lang w:eastAsia="es-ES"/>
              </w:rPr>
            </w:pPr>
            <w:r w:rsidRPr="00E46787">
              <w:rPr>
                <w:rFonts w:ascii="Arial" w:eastAsia="Times New Roman" w:hAnsi="Arial" w:cs="Arial"/>
                <w:b/>
                <w:bCs/>
                <w:color w:val="0000FF"/>
                <w:sz w:val="24"/>
                <w:szCs w:val="24"/>
                <w:lang w:eastAsia="es-ES"/>
              </w:rPr>
              <w:t>CUESTION</w:t>
            </w:r>
          </w:p>
        </w:tc>
        <w:tc>
          <w:tcPr>
            <w:tcW w:w="0" w:type="auto"/>
            <w:hideMark/>
          </w:tcPr>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Arial" w:eastAsia="Times New Roman" w:hAnsi="Arial" w:cs="Arial"/>
                <w:sz w:val="24"/>
                <w:szCs w:val="24"/>
                <w:lang w:eastAsia="es-ES"/>
              </w:rPr>
              <w:t xml:space="preserve">Si la base imponible del impuesto está constituida por el precio del remate o por el valor real del bien transmitido, habida cuenta de que, de conformidad con el </w:t>
            </w:r>
            <w:proofErr w:type="spellStart"/>
            <w:r w:rsidRPr="00E46787">
              <w:rPr>
                <w:rFonts w:ascii="Arial" w:eastAsia="Times New Roman" w:hAnsi="Arial" w:cs="Arial"/>
                <w:sz w:val="24"/>
                <w:szCs w:val="24"/>
                <w:lang w:eastAsia="es-ES"/>
              </w:rPr>
              <w:t>articulo</w:t>
            </w:r>
            <w:proofErr w:type="spellEnd"/>
            <w:r w:rsidRPr="00E46787">
              <w:rPr>
                <w:rFonts w:ascii="Arial" w:eastAsia="Times New Roman" w:hAnsi="Arial" w:cs="Arial"/>
                <w:sz w:val="24"/>
                <w:szCs w:val="24"/>
                <w:lang w:eastAsia="es-ES"/>
              </w:rPr>
              <w:t xml:space="preserve"> 20 del Reglamento del Impuesto del ITP y AJD, se cumplen las condiciones para que exista una sola transmisión y, en consecuencia, una sola liquidación. </w:t>
            </w:r>
          </w:p>
        </w:tc>
      </w:tr>
      <w:tr w:rsidR="00E46787" w:rsidRPr="00E46787" w:rsidTr="00E46787">
        <w:trPr>
          <w:tblCellSpacing w:w="15" w:type="dxa"/>
        </w:trPr>
        <w:tc>
          <w:tcPr>
            <w:tcW w:w="1000" w:type="pct"/>
            <w:hideMark/>
          </w:tcPr>
          <w:p w:rsidR="00E46787" w:rsidRPr="00E46787" w:rsidRDefault="00E46787" w:rsidP="00E46787">
            <w:pPr>
              <w:spacing w:after="0" w:line="240" w:lineRule="auto"/>
              <w:jc w:val="right"/>
              <w:rPr>
                <w:rFonts w:ascii="Times New Roman" w:eastAsia="Times New Roman" w:hAnsi="Times New Roman" w:cs="Times New Roman"/>
                <w:sz w:val="24"/>
                <w:szCs w:val="24"/>
                <w:lang w:eastAsia="es-ES"/>
              </w:rPr>
            </w:pPr>
            <w:r w:rsidRPr="00E46787">
              <w:rPr>
                <w:rFonts w:ascii="Arial" w:eastAsia="Times New Roman" w:hAnsi="Arial" w:cs="Arial"/>
                <w:b/>
                <w:bCs/>
                <w:color w:val="0000FF"/>
                <w:sz w:val="24"/>
                <w:szCs w:val="24"/>
                <w:lang w:eastAsia="es-ES"/>
              </w:rPr>
              <w:t>CONTESTACION</w:t>
            </w:r>
          </w:p>
        </w:tc>
        <w:tc>
          <w:tcPr>
            <w:tcW w:w="0" w:type="auto"/>
            <w:hideMark/>
          </w:tcPr>
          <w:p w:rsidR="00E46787" w:rsidRPr="00E46787" w:rsidRDefault="00E46787" w:rsidP="00E46787">
            <w:pPr>
              <w:spacing w:after="0" w:line="240" w:lineRule="auto"/>
              <w:rPr>
                <w:rFonts w:ascii="Times New Roman" w:eastAsia="Times New Roman" w:hAnsi="Times New Roman" w:cs="Times New Roman"/>
                <w:sz w:val="24"/>
                <w:szCs w:val="24"/>
                <w:lang w:eastAsia="es-ES"/>
              </w:rPr>
            </w:pPr>
            <w:r w:rsidRPr="00E46787">
              <w:rPr>
                <w:rFonts w:ascii="Arial" w:eastAsia="Times New Roman" w:hAnsi="Arial" w:cs="Arial"/>
                <w:sz w:val="24"/>
                <w:szCs w:val="24"/>
                <w:lang w:eastAsia="es-ES"/>
              </w:rPr>
              <w:t>En relación con la consulta planteada este Centro Directivo informa lo siguiente:</w:t>
            </w:r>
            <w:r w:rsidRPr="00E46787">
              <w:rPr>
                <w:rFonts w:ascii="Arial" w:eastAsia="Times New Roman" w:hAnsi="Arial" w:cs="Arial"/>
                <w:sz w:val="24"/>
                <w:szCs w:val="24"/>
                <w:lang w:eastAsia="es-ES"/>
              </w:rPr>
              <w:br/>
              <w:t xml:space="preserve">Establece el artículo 39 del Reglamento del Impuesto, aprobado por Real Decreto 828/1995, de 29 de mayo, en su redacción vigente tras la Sentencia del Tribunal Supremo de 3 de noviembre de 1997, que "en las transmisiones realizadas mediante subasta </w:t>
            </w:r>
            <w:proofErr w:type="spellStart"/>
            <w:r w:rsidRPr="00E46787">
              <w:rPr>
                <w:rFonts w:ascii="Arial" w:eastAsia="Times New Roman" w:hAnsi="Arial" w:cs="Arial"/>
                <w:sz w:val="24"/>
                <w:szCs w:val="24"/>
                <w:lang w:eastAsia="es-ES"/>
              </w:rPr>
              <w:t>publica</w:t>
            </w:r>
            <w:proofErr w:type="spellEnd"/>
            <w:r w:rsidRPr="00E46787">
              <w:rPr>
                <w:rFonts w:ascii="Arial" w:eastAsia="Times New Roman" w:hAnsi="Arial" w:cs="Arial"/>
                <w:sz w:val="24"/>
                <w:szCs w:val="24"/>
                <w:lang w:eastAsia="es-ES"/>
              </w:rPr>
              <w:t>, notarial, judicial o administrativa, servirá de base el valor de adquisición". Por tanto, en este punto se aparta el Reglamento de la regla general de determinación de la base imponible en la modalidad transmisiones patrimoniales onerosas que, conforme a los artículos 10 y 46 del Texto Refundido, estará constituida por el valor real de los bienes o derechos transmitidos, el cual podrá ser objeto de comprobación por parte de la Administración.</w:t>
            </w:r>
            <w:r w:rsidRPr="00E46787">
              <w:rPr>
                <w:rFonts w:ascii="Arial" w:eastAsia="Times New Roman" w:hAnsi="Arial" w:cs="Arial"/>
                <w:sz w:val="24"/>
                <w:szCs w:val="24"/>
                <w:lang w:eastAsia="es-ES"/>
              </w:rPr>
              <w:br/>
              <w:t>Ahora bien, en relación a la subasta realizada a condición de ceder se plantea la duda de si en ese supuesto la transmisión del bien del adjudicatario en calidad de ceder a favor del cesionario ultimo puede considerarse una transmisión realizada en subasta, en cuyo caso resultaría indiscutible la aplicación del referido artículo 39, o si dicha transmisión queda excluida de la aplicación del citado precepto.</w:t>
            </w:r>
            <w:r w:rsidRPr="00E46787">
              <w:rPr>
                <w:rFonts w:ascii="Arial" w:eastAsia="Times New Roman" w:hAnsi="Arial" w:cs="Arial"/>
                <w:sz w:val="24"/>
                <w:szCs w:val="24"/>
                <w:lang w:eastAsia="es-ES"/>
              </w:rPr>
              <w:br/>
              <w:t xml:space="preserve">A este respecto debe tenerse en cuenta que la normativa administrativa suele distinguir en las adjudicaciones mediante subasta </w:t>
            </w:r>
            <w:proofErr w:type="spellStart"/>
            <w:r w:rsidRPr="00E46787">
              <w:rPr>
                <w:rFonts w:ascii="Arial" w:eastAsia="Times New Roman" w:hAnsi="Arial" w:cs="Arial"/>
                <w:sz w:val="24"/>
                <w:szCs w:val="24"/>
                <w:lang w:eastAsia="es-ES"/>
              </w:rPr>
              <w:t>publica</w:t>
            </w:r>
            <w:proofErr w:type="spellEnd"/>
            <w:r w:rsidRPr="00E46787">
              <w:rPr>
                <w:rFonts w:ascii="Arial" w:eastAsia="Times New Roman" w:hAnsi="Arial" w:cs="Arial"/>
                <w:sz w:val="24"/>
                <w:szCs w:val="24"/>
                <w:lang w:eastAsia="es-ES"/>
              </w:rPr>
              <w:t xml:space="preserve"> diversas fases o momentos, cuales son la adjudicación provisional, la que se produce de </w:t>
            </w:r>
            <w:r w:rsidRPr="00E46787">
              <w:rPr>
                <w:rFonts w:ascii="Arial" w:eastAsia="Times New Roman" w:hAnsi="Arial" w:cs="Arial"/>
                <w:sz w:val="24"/>
                <w:szCs w:val="24"/>
                <w:lang w:eastAsia="es-ES"/>
              </w:rPr>
              <w:lastRenderedPageBreak/>
              <w:t xml:space="preserve">forma definitiva, y el otorgamiento de escritura </w:t>
            </w:r>
            <w:proofErr w:type="spellStart"/>
            <w:r w:rsidRPr="00E46787">
              <w:rPr>
                <w:rFonts w:ascii="Arial" w:eastAsia="Times New Roman" w:hAnsi="Arial" w:cs="Arial"/>
                <w:sz w:val="24"/>
                <w:szCs w:val="24"/>
                <w:lang w:eastAsia="es-ES"/>
              </w:rPr>
              <w:t>publica</w:t>
            </w:r>
            <w:proofErr w:type="spellEnd"/>
            <w:r w:rsidRPr="00E46787">
              <w:rPr>
                <w:rFonts w:ascii="Arial" w:eastAsia="Times New Roman" w:hAnsi="Arial" w:cs="Arial"/>
                <w:sz w:val="24"/>
                <w:szCs w:val="24"/>
                <w:lang w:eastAsia="es-ES"/>
              </w:rPr>
              <w:t xml:space="preserve">. De ellas es la adjudicación definitiva la que perfecciona el contrato y hace surgir el derecho de la </w:t>
            </w:r>
            <w:proofErr w:type="spellStart"/>
            <w:r w:rsidRPr="00E46787">
              <w:rPr>
                <w:rFonts w:ascii="Arial" w:eastAsia="Times New Roman" w:hAnsi="Arial" w:cs="Arial"/>
                <w:sz w:val="24"/>
                <w:szCs w:val="24"/>
                <w:lang w:eastAsia="es-ES"/>
              </w:rPr>
              <w:t>Administracion</w:t>
            </w:r>
            <w:proofErr w:type="spellEnd"/>
            <w:r w:rsidRPr="00E46787">
              <w:rPr>
                <w:rFonts w:ascii="Arial" w:eastAsia="Times New Roman" w:hAnsi="Arial" w:cs="Arial"/>
                <w:sz w:val="24"/>
                <w:szCs w:val="24"/>
                <w:lang w:eastAsia="es-ES"/>
              </w:rPr>
              <w:t xml:space="preserve"> a liquidar el tributo, mientras que la adjudicación provisional únicamente crea a favor del interesado una especie de esperanza o expectativa de derechos, pero solo cuando se obtiene la adjudicación definitiva surge el vínculo contractual perfecto.</w:t>
            </w:r>
            <w:r w:rsidRPr="00E46787">
              <w:rPr>
                <w:rFonts w:ascii="Arial" w:eastAsia="Times New Roman" w:hAnsi="Arial" w:cs="Arial"/>
                <w:sz w:val="24"/>
                <w:szCs w:val="24"/>
                <w:lang w:eastAsia="es-ES"/>
              </w:rPr>
              <w:br/>
              <w:t xml:space="preserve">Cuestión íntimamente ligada con la anterior es la de determinar si en la subasta a calidad de ceder, la cesión de los derechos dimanantes de la subasta da lugar a la existencia de una o dos transmisiones, y si </w:t>
            </w:r>
            <w:proofErr w:type="spellStart"/>
            <w:r w:rsidRPr="00E46787">
              <w:rPr>
                <w:rFonts w:ascii="Arial" w:eastAsia="Times New Roman" w:hAnsi="Arial" w:cs="Arial"/>
                <w:sz w:val="24"/>
                <w:szCs w:val="24"/>
                <w:lang w:eastAsia="es-ES"/>
              </w:rPr>
              <w:t>seria</w:t>
            </w:r>
            <w:proofErr w:type="spellEnd"/>
            <w:r w:rsidRPr="00E46787">
              <w:rPr>
                <w:rFonts w:ascii="Arial" w:eastAsia="Times New Roman" w:hAnsi="Arial" w:cs="Arial"/>
                <w:sz w:val="24"/>
                <w:szCs w:val="24"/>
                <w:lang w:eastAsia="es-ES"/>
              </w:rPr>
              <w:t xml:space="preserve"> de aplicación a ambas, o solo a la primera de ellas, lo dispuesto en el </w:t>
            </w:r>
            <w:proofErr w:type="spellStart"/>
            <w:r w:rsidRPr="00E46787">
              <w:rPr>
                <w:rFonts w:ascii="Arial" w:eastAsia="Times New Roman" w:hAnsi="Arial" w:cs="Arial"/>
                <w:sz w:val="24"/>
                <w:szCs w:val="24"/>
                <w:lang w:eastAsia="es-ES"/>
              </w:rPr>
              <w:t>articulo</w:t>
            </w:r>
            <w:proofErr w:type="spellEnd"/>
            <w:r w:rsidRPr="00E46787">
              <w:rPr>
                <w:rFonts w:ascii="Arial" w:eastAsia="Times New Roman" w:hAnsi="Arial" w:cs="Arial"/>
                <w:sz w:val="24"/>
                <w:szCs w:val="24"/>
                <w:lang w:eastAsia="es-ES"/>
              </w:rPr>
              <w:t xml:space="preserve"> 39 del Reglamento del Impuesto.</w:t>
            </w:r>
            <w:r w:rsidRPr="00E46787">
              <w:rPr>
                <w:rFonts w:ascii="Arial" w:eastAsia="Times New Roman" w:hAnsi="Arial" w:cs="Arial"/>
                <w:sz w:val="24"/>
                <w:szCs w:val="24"/>
                <w:lang w:eastAsia="es-ES"/>
              </w:rPr>
              <w:br/>
              <w:t xml:space="preserve">Si se entiende que es una única transmisión la cuestión se resuelve favorablemente a la aplicación del citado precepto: la base imponible estará constituida por el valor de adquisición y no procederá la comprobación del valor del bien transmitido por parte de la </w:t>
            </w:r>
            <w:proofErr w:type="spellStart"/>
            <w:r w:rsidRPr="00E46787">
              <w:rPr>
                <w:rFonts w:ascii="Arial" w:eastAsia="Times New Roman" w:hAnsi="Arial" w:cs="Arial"/>
                <w:sz w:val="24"/>
                <w:szCs w:val="24"/>
                <w:lang w:eastAsia="es-ES"/>
              </w:rPr>
              <w:t>Administracion</w:t>
            </w:r>
            <w:proofErr w:type="spellEnd"/>
            <w:r w:rsidRPr="00E46787">
              <w:rPr>
                <w:rFonts w:ascii="Arial" w:eastAsia="Times New Roman" w:hAnsi="Arial" w:cs="Arial"/>
                <w:sz w:val="24"/>
                <w:szCs w:val="24"/>
                <w:lang w:eastAsia="es-ES"/>
              </w:rPr>
              <w:t xml:space="preserve">. Por el contrario, de considerarse que estamos ante dos transmisiones, la primera de ellas será la que tenga el carácter de adjudicación en subasta </w:t>
            </w:r>
            <w:proofErr w:type="spellStart"/>
            <w:r w:rsidRPr="00E46787">
              <w:rPr>
                <w:rFonts w:ascii="Arial" w:eastAsia="Times New Roman" w:hAnsi="Arial" w:cs="Arial"/>
                <w:sz w:val="24"/>
                <w:szCs w:val="24"/>
                <w:lang w:eastAsia="es-ES"/>
              </w:rPr>
              <w:t>publica</w:t>
            </w:r>
            <w:proofErr w:type="spellEnd"/>
            <w:r w:rsidRPr="00E46787">
              <w:rPr>
                <w:rFonts w:ascii="Arial" w:eastAsia="Times New Roman" w:hAnsi="Arial" w:cs="Arial"/>
                <w:sz w:val="24"/>
                <w:szCs w:val="24"/>
                <w:lang w:eastAsia="es-ES"/>
              </w:rPr>
              <w:t xml:space="preserve"> y a la que se aplicará el artículo 39, mientras que a la segunda transmisión, la que tiene lugar del adjudicatario primero al cesionario en calidad de ceder, se le aplicaran las reglas generales de determinación de la base imponible en la modalidad transmisiones patrimoniales onerosas, artículos 10 y 46.</w:t>
            </w:r>
            <w:r w:rsidRPr="00E46787">
              <w:rPr>
                <w:rFonts w:ascii="Arial" w:eastAsia="Times New Roman" w:hAnsi="Arial" w:cs="Arial"/>
                <w:sz w:val="24"/>
                <w:szCs w:val="24"/>
                <w:lang w:eastAsia="es-ES"/>
              </w:rPr>
              <w:br/>
              <w:t>Para resolver la anterior cuestión debemos analizar el artículo 20 del Reglamento del Impuesto que establece que</w:t>
            </w:r>
            <w:r w:rsidRPr="00E46787">
              <w:rPr>
                <w:rFonts w:ascii="Arial" w:eastAsia="Times New Roman" w:hAnsi="Arial" w:cs="Arial"/>
                <w:sz w:val="24"/>
                <w:szCs w:val="24"/>
                <w:lang w:eastAsia="es-ES"/>
              </w:rPr>
              <w:br/>
              <w:t>" Si la enajenación tuviera lugar en subasta judicial, y el postor a quien se adjudique el remate hubiera hecho uso, en el acto de la subasta, del derecho a cederlo en las condiciones establecidas por la normativa reguladora de la subasta de que se trate, se liquidará una sola transmisión en favor del cesionario.</w:t>
            </w:r>
            <w:r w:rsidRPr="00E46787">
              <w:rPr>
                <w:rFonts w:ascii="Arial" w:eastAsia="Times New Roman" w:hAnsi="Arial" w:cs="Arial"/>
                <w:sz w:val="24"/>
                <w:szCs w:val="24"/>
                <w:lang w:eastAsia="es-ES"/>
              </w:rPr>
              <w:br/>
              <w:t>Si la declaración de haber hecho la postura para ceder se formula después de celebrada la subasta, no tendrá aplicación lo dispuesto en este apartado y se liquidarán dos transmisiones distintas: una, al adjudicatario del remate, y otra, al cesionario de aquel.</w:t>
            </w:r>
            <w:r w:rsidRPr="00E46787">
              <w:rPr>
                <w:rFonts w:ascii="Arial" w:eastAsia="Times New Roman" w:hAnsi="Arial" w:cs="Arial"/>
                <w:sz w:val="24"/>
                <w:szCs w:val="24"/>
                <w:lang w:eastAsia="es-ES"/>
              </w:rPr>
              <w:br/>
              <w:t xml:space="preserve">Vemos, por tanto, que, conforme al artículo 20 del actual Reglamento, el dato fundamental a tener en cuenta para determinar la existencia de una o dos transmisiones es el hecho de que la declaración de haber hecho la postura para ceder se formule antes o después de celebrada la subasta. Dicho precepto procede del artículo 9 nº 5 del Reglamento de Derechos Reales de 1959, Decreto 176 de 15 de enero, del que no difiere </w:t>
            </w:r>
            <w:proofErr w:type="spellStart"/>
            <w:r w:rsidRPr="00E46787">
              <w:rPr>
                <w:rFonts w:ascii="Arial" w:eastAsia="Times New Roman" w:hAnsi="Arial" w:cs="Arial"/>
                <w:sz w:val="24"/>
                <w:szCs w:val="24"/>
                <w:lang w:eastAsia="es-ES"/>
              </w:rPr>
              <w:t>mas</w:t>
            </w:r>
            <w:proofErr w:type="spellEnd"/>
            <w:r w:rsidRPr="00E46787">
              <w:rPr>
                <w:rFonts w:ascii="Arial" w:eastAsia="Times New Roman" w:hAnsi="Arial" w:cs="Arial"/>
                <w:sz w:val="24"/>
                <w:szCs w:val="24"/>
                <w:lang w:eastAsia="es-ES"/>
              </w:rPr>
              <w:t xml:space="preserve"> que en la referencia a la normativa reguladora de la subasta de que se trate, que sustituye la </w:t>
            </w:r>
            <w:r w:rsidRPr="00E46787">
              <w:rPr>
                <w:rFonts w:ascii="Arial" w:eastAsia="Times New Roman" w:hAnsi="Arial" w:cs="Arial"/>
                <w:sz w:val="24"/>
                <w:szCs w:val="24"/>
                <w:lang w:eastAsia="es-ES"/>
              </w:rPr>
              <w:lastRenderedPageBreak/>
              <w:t xml:space="preserve">remisión que en el antiguo Reglamento se </w:t>
            </w:r>
            <w:proofErr w:type="spellStart"/>
            <w:r w:rsidRPr="00E46787">
              <w:rPr>
                <w:rFonts w:ascii="Arial" w:eastAsia="Times New Roman" w:hAnsi="Arial" w:cs="Arial"/>
                <w:sz w:val="24"/>
                <w:szCs w:val="24"/>
                <w:lang w:eastAsia="es-ES"/>
              </w:rPr>
              <w:t>hacia</w:t>
            </w:r>
            <w:proofErr w:type="spellEnd"/>
            <w:r w:rsidRPr="00E46787">
              <w:rPr>
                <w:rFonts w:ascii="Arial" w:eastAsia="Times New Roman" w:hAnsi="Arial" w:cs="Arial"/>
                <w:sz w:val="24"/>
                <w:szCs w:val="24"/>
                <w:lang w:eastAsia="es-ES"/>
              </w:rPr>
              <w:t xml:space="preserve"> a la Ley de Enjuiciamiento Civil, y en que, para determinar la existencia de una sola transmisión, el Reglamento de 1959, además de exigir que la cesión de los derechos por el postor a quien se adjudicase el remate se hiciese en el acto de la subasta, añadía la circunstancia de que se otorgase la escritura de venta al cesionario "directamente por el deudor o por el Juzgado.</w:t>
            </w:r>
            <w:r w:rsidRPr="00E46787">
              <w:rPr>
                <w:rFonts w:ascii="Arial" w:eastAsia="Times New Roman" w:hAnsi="Arial" w:cs="Arial"/>
                <w:sz w:val="24"/>
                <w:szCs w:val="24"/>
                <w:lang w:eastAsia="es-ES"/>
              </w:rPr>
              <w:br/>
              <w:t>Por tanto, podemos distinguir dos supuestos:</w:t>
            </w:r>
            <w:r w:rsidRPr="00E46787">
              <w:rPr>
                <w:rFonts w:ascii="Arial" w:eastAsia="Times New Roman" w:hAnsi="Arial" w:cs="Arial"/>
                <w:sz w:val="24"/>
                <w:szCs w:val="24"/>
                <w:lang w:eastAsia="es-ES"/>
              </w:rPr>
              <w:br/>
              <w:t xml:space="preserve">a) Si la declaración de haber hecho la postura para ceder se formula antes de celebrada la subasta, se entenderá que hay una sola transmisión, y por ello la escritura </w:t>
            </w:r>
            <w:proofErr w:type="spellStart"/>
            <w:r w:rsidRPr="00E46787">
              <w:rPr>
                <w:rFonts w:ascii="Arial" w:eastAsia="Times New Roman" w:hAnsi="Arial" w:cs="Arial"/>
                <w:sz w:val="24"/>
                <w:szCs w:val="24"/>
                <w:lang w:eastAsia="es-ES"/>
              </w:rPr>
              <w:t>publica</w:t>
            </w:r>
            <w:proofErr w:type="spellEnd"/>
            <w:r w:rsidRPr="00E46787">
              <w:rPr>
                <w:rFonts w:ascii="Arial" w:eastAsia="Times New Roman" w:hAnsi="Arial" w:cs="Arial"/>
                <w:sz w:val="24"/>
                <w:szCs w:val="24"/>
                <w:lang w:eastAsia="es-ES"/>
              </w:rPr>
              <w:t xml:space="preserve"> se otorga al cesionario directamente por el deudor o por el Juzgado, obviándose cualquier situación intermedia anterior que hubiera podido tener lugar, como la adjudicación provisional en favor del postor que intervino en calidad de ceder, la cual no tiene la consideración de una autentica transmisión, sino de un mero trámite o fase previa a la </w:t>
            </w:r>
            <w:proofErr w:type="spellStart"/>
            <w:r w:rsidRPr="00E46787">
              <w:rPr>
                <w:rFonts w:ascii="Arial" w:eastAsia="Times New Roman" w:hAnsi="Arial" w:cs="Arial"/>
                <w:sz w:val="24"/>
                <w:szCs w:val="24"/>
                <w:lang w:eastAsia="es-ES"/>
              </w:rPr>
              <w:t>autentica</w:t>
            </w:r>
            <w:proofErr w:type="spellEnd"/>
            <w:r w:rsidRPr="00E46787">
              <w:rPr>
                <w:rFonts w:ascii="Arial" w:eastAsia="Times New Roman" w:hAnsi="Arial" w:cs="Arial"/>
                <w:sz w:val="24"/>
                <w:szCs w:val="24"/>
                <w:lang w:eastAsia="es-ES"/>
              </w:rPr>
              <w:t xml:space="preserve"> y definitiva transmisión en que la subasta se traduce.</w:t>
            </w:r>
            <w:r w:rsidRPr="00E46787">
              <w:rPr>
                <w:rFonts w:ascii="Arial" w:eastAsia="Times New Roman" w:hAnsi="Arial" w:cs="Arial"/>
                <w:sz w:val="24"/>
                <w:szCs w:val="24"/>
                <w:lang w:eastAsia="es-ES"/>
              </w:rPr>
              <w:br/>
              <w:t xml:space="preserve">b) Por el contrario, la subrogación en los derechos del adjudicatario después de celebrada la subasta supone la existencia de dos transmisiones independientes: una, consecuencia del procedimiento de subasta, a favor del adjudicatario del remate; y, otra, ajena al mecanismo procesal de la subasta, a favor del cesionario </w:t>
            </w:r>
            <w:proofErr w:type="spellStart"/>
            <w:proofErr w:type="gramStart"/>
            <w:r w:rsidRPr="00E46787">
              <w:rPr>
                <w:rFonts w:ascii="Arial" w:eastAsia="Times New Roman" w:hAnsi="Arial" w:cs="Arial"/>
                <w:sz w:val="24"/>
                <w:szCs w:val="24"/>
                <w:lang w:eastAsia="es-ES"/>
              </w:rPr>
              <w:t>ultimo</w:t>
            </w:r>
            <w:proofErr w:type="spellEnd"/>
            <w:proofErr w:type="gramEnd"/>
            <w:r w:rsidRPr="00E46787">
              <w:rPr>
                <w:rFonts w:ascii="Arial" w:eastAsia="Times New Roman" w:hAnsi="Arial" w:cs="Arial"/>
                <w:sz w:val="24"/>
                <w:szCs w:val="24"/>
                <w:lang w:eastAsia="es-ES"/>
              </w:rPr>
              <w:t xml:space="preserve">. De ahí que en ese caso la escritura no se otorgue al cesionario directamente por el deudor o por el Juzgado, sino por el rematante en la subasta, adquirente en la transmisión anterior. </w:t>
            </w:r>
            <w:r w:rsidRPr="00E46787">
              <w:rPr>
                <w:rFonts w:ascii="Arial" w:eastAsia="Times New Roman" w:hAnsi="Arial" w:cs="Arial"/>
                <w:sz w:val="24"/>
                <w:szCs w:val="24"/>
                <w:lang w:eastAsia="es-ES"/>
              </w:rPr>
              <w:br/>
              <w:t xml:space="preserve">En el supuesto ahora planteado, si, conforme declara el consultante, se cumplen las condiciones del </w:t>
            </w:r>
            <w:proofErr w:type="spellStart"/>
            <w:proofErr w:type="gramStart"/>
            <w:r w:rsidRPr="00E46787">
              <w:rPr>
                <w:rFonts w:ascii="Arial" w:eastAsia="Times New Roman" w:hAnsi="Arial" w:cs="Arial"/>
                <w:sz w:val="24"/>
                <w:szCs w:val="24"/>
                <w:lang w:eastAsia="es-ES"/>
              </w:rPr>
              <w:t>articulo</w:t>
            </w:r>
            <w:proofErr w:type="spellEnd"/>
            <w:proofErr w:type="gramEnd"/>
            <w:r w:rsidRPr="00E46787">
              <w:rPr>
                <w:rFonts w:ascii="Arial" w:eastAsia="Times New Roman" w:hAnsi="Arial" w:cs="Arial"/>
                <w:sz w:val="24"/>
                <w:szCs w:val="24"/>
                <w:lang w:eastAsia="es-ES"/>
              </w:rPr>
              <w:t xml:space="preserve"> 20 del Reglamento para que se trate de una sola transmisión y, en consecuencia, una sola liquidación, será de aplicación lo dispuesto en el </w:t>
            </w:r>
            <w:proofErr w:type="spellStart"/>
            <w:r w:rsidRPr="00E46787">
              <w:rPr>
                <w:rFonts w:ascii="Arial" w:eastAsia="Times New Roman" w:hAnsi="Arial" w:cs="Arial"/>
                <w:sz w:val="24"/>
                <w:szCs w:val="24"/>
                <w:lang w:eastAsia="es-ES"/>
              </w:rPr>
              <w:t>articulo</w:t>
            </w:r>
            <w:proofErr w:type="spellEnd"/>
            <w:r w:rsidRPr="00E46787">
              <w:rPr>
                <w:rFonts w:ascii="Arial" w:eastAsia="Times New Roman" w:hAnsi="Arial" w:cs="Arial"/>
                <w:sz w:val="24"/>
                <w:szCs w:val="24"/>
                <w:lang w:eastAsia="es-ES"/>
              </w:rPr>
              <w:t xml:space="preserve"> 39 del Reglamento del Impuesto conforme al cual "servirá de base el valor de adquisición".</w:t>
            </w:r>
            <w:r w:rsidRPr="00E46787">
              <w:rPr>
                <w:rFonts w:ascii="Arial" w:eastAsia="Times New Roman" w:hAnsi="Arial" w:cs="Arial"/>
                <w:sz w:val="24"/>
                <w:szCs w:val="24"/>
                <w:lang w:eastAsia="es-ES"/>
              </w:rPr>
              <w:br/>
              <w:t>Todo lo cual, con el alcance previsto en el artículo 107.2 de la Ley General Tributaria, en la nueva redacción dada por la Ley 25/1995, de 20 de julio, comunico a Ud. a los efectos oportunos.</w:t>
            </w:r>
          </w:p>
        </w:tc>
      </w:tr>
    </w:tbl>
    <w:p w:rsidR="005114B4" w:rsidRDefault="005114B4">
      <w:bookmarkStart w:id="0" w:name="_GoBack"/>
      <w:bookmarkEnd w:id="0"/>
    </w:p>
    <w:sectPr w:rsidR="005114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787"/>
    <w:rsid w:val="005114B4"/>
    <w:rsid w:val="00E467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467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467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8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etete.minhap.gob.es/Scripts/know3.exe/tributos/consulta/encol.htm?Consulta=%2EEN+NUM%2DCONSULTA+%28%32%34%32%31%2D%39%39%29&amp;Pos=0" TargetMode="External"/><Relationship Id="rId5" Type="http://schemas.openxmlformats.org/officeDocument/2006/relationships/hyperlink" Target="http://petete.minhap.gob.es/Scripts/know3.exe/tributos/consulta/consulta.ht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6248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lorenzo</dc:creator>
  <cp:lastModifiedBy>miguel lorenzo</cp:lastModifiedBy>
  <cp:revision>1</cp:revision>
  <dcterms:created xsi:type="dcterms:W3CDTF">2015-11-29T19:50:00Z</dcterms:created>
  <dcterms:modified xsi:type="dcterms:W3CDTF">2015-11-29T19:51:00Z</dcterms:modified>
</cp:coreProperties>
</file>